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rFonts w:ascii="Times New Roman" w:eastAsia="標楷體" w:hAnsi="Times New Roman"/>
          <w:b/>
          <w:bCs/>
          <w:sz w:val="36"/>
          <w:szCs w:val="36"/>
        </w:rPr>
        <w:t xml:space="preserve">刑法實例演習　示範測驗題組（第七次）</w:t>
      </w:r>
    </w:p>
    <w:p>
      <w:pPr>
        <w:pBdr>
          <w:bottom w:val="single" w:color="999999" w:sz="6" w:space="6"/>
        </w:pBdr>
        <w:spacing w:after="300"/>
        <w:jc w:val="center"/>
      </w:pPr>
      <w:r>
        <w:rPr>
          <w:rFonts w:ascii="Times New Roman" w:eastAsia="標楷體" w:hAnsi="Times New Roman"/>
          <w:i/>
          <w:iCs/>
          <w:color w:val="555555"/>
          <w:sz w:val="20"/>
          <w:szCs w:val="20"/>
        </w:rPr>
        <w:t xml:space="preserve">本題組為教學示範用之虛擬案例，人物、公司、時間均為虛構。擬答為評分要點式，非完整答案。</w:t>
      </w:r>
    </w:p>
    <w:p>
      <w:pPr>
        <w:pStyle w:val="Heading1"/>
        <w:spacing w:after="120" w:before="260"/>
      </w:pPr>
      <w:r>
        <w:rPr>
          <w:rFonts w:ascii="Times New Roman" w:eastAsia="標楷體" w:hAnsi="Times New Roman"/>
          <w:b/>
          <w:bCs/>
          <w:sz w:val="30"/>
          <w:szCs w:val="30"/>
        </w:rPr>
        <w:t xml:space="preserve">第一題（25 分）</w:t>
      </w:r>
    </w:p>
    <w:p>
      <w:pPr>
        <w:spacing w:after="160" w:line="320"/>
        <w:ind w:firstLine="480"/>
      </w:pPr>
      <w:r>
        <w:rPr>
          <w:rFonts w:ascii="Times New Roman" w:eastAsia="標楷體" w:hAnsi="Times New Roman"/>
          <w:sz w:val="24"/>
          <w:szCs w:val="24"/>
        </w:rPr>
        <w:t xml:space="preserve">甲、乙同為某客運公司之駕駛員，兩人正在競爭一個以「持有有效職業駕照且近三年無重大違規紀錄」為條件之調度組長職位。甲為使乙喪失競爭資格，計畫讓乙因犯罪而遭吊銷駕照。甲因此邀乙外出用餐，並趁乙離席時，在乙所飲用之無酒精氣泡飲料中偷偷加入麻醉藥品。餐後，甲告訴乙，剛接到消息說乙的母親在工地摔傷送醫、情況危急，要乙立刻趕過去。乙未加確認事實，隨即駕車前往，途中因精神恍惚撞上行人 A，A 當場死亡。試問甲、乙之行為依刑法如何論處？</w:t>
      </w:r>
    </w:p>
    <w:p>
      <w:pPr>
        <w:pStyle w:val="Heading2"/>
        <w:spacing w:after="120" w:before="260"/>
      </w:pPr>
      <w:r>
        <w:rPr>
          <w:rFonts w:ascii="Times New Roman" w:eastAsia="標楷體" w:hAnsi="Times New Roman"/>
          <w:b/>
          <w:bCs/>
          <w:sz w:val="26"/>
          <w:szCs w:val="26"/>
        </w:rPr>
        <w:t xml:space="preserve">擬答（評分要點）</w:t>
      </w:r>
    </w:p>
    <w:p>
      <w:pPr>
        <w:spacing w:after="80" w:line="300"/>
        <w:ind w:left="0"/>
      </w:pPr>
      <w:r>
        <w:rPr>
          <w:rFonts w:ascii="Times New Roman" w:eastAsia="標楷體" w:hAnsi="Times New Roman"/>
          <w:color w:val="000000"/>
          <w:sz w:val="24"/>
          <w:szCs w:val="24"/>
        </w:rPr>
        <w:t xml:space="preserve">1. 乙不成立 185-3 Ⅰ③④：本罪為故意犯，乙不知遭下藥，欠缺故意。Ⅰ不成立則無Ⅱ致死之適用。</w:t>
      </w:r>
      <w:r>
        <w:rPr>
          <w:rFonts w:ascii="Times New Roman" w:eastAsia="標楷體" w:hAnsi="Times New Roman"/>
          <w:b/>
          <w:bCs/>
          <w:color w:val="C00000"/>
          <w:sz w:val="22"/>
          <w:szCs w:val="22"/>
        </w:rPr>
        <w:t xml:space="preserve">（5 分）</w:t>
      </w:r>
    </w:p>
    <w:p>
      <w:pPr>
        <w:spacing w:after="80" w:line="300"/>
        <w:ind w:left="0"/>
      </w:pPr>
      <w:r>
        <w:rPr>
          <w:rFonts w:ascii="Times New Roman" w:eastAsia="標楷體" w:hAnsi="Times New Roman"/>
          <w:color w:val="000000"/>
          <w:sz w:val="24"/>
          <w:szCs w:val="24"/>
        </w:rPr>
        <w:t xml:space="preserve">2. 乙對 A 成立 276 過失致死。</w:t>
      </w:r>
      <w:r>
        <w:rPr>
          <w:rFonts w:ascii="Times New Roman" w:eastAsia="標楷體" w:hAnsi="Times New Roman"/>
          <w:b/>
          <w:bCs/>
          <w:color w:val="C00000"/>
          <w:sz w:val="22"/>
          <w:szCs w:val="22"/>
        </w:rPr>
        <w:t xml:space="preserve">（5 分）</w:t>
      </w:r>
    </w:p>
    <w:p>
      <w:pPr>
        <w:spacing w:after="40" w:line="300"/>
        <w:ind w:left="480"/>
      </w:pPr>
      <w:r>
        <w:rPr>
          <w:rFonts w:ascii="Times New Roman" w:eastAsia="標楷體" w:hAnsi="Times New Roman"/>
          <w:color w:val="333333"/>
          <w:sz w:val="22"/>
          <w:szCs w:val="22"/>
        </w:rPr>
        <w:t xml:space="preserve">　˙注意義務違反在於「行車中已感精神恍惚仍未減速、靠邊停車」。</w:t>
      </w:r>
    </w:p>
    <w:p>
      <w:pPr>
        <w:spacing w:after="40" w:line="300"/>
        <w:ind w:left="480"/>
      </w:pPr>
      <w:r>
        <w:rPr>
          <w:rFonts w:ascii="Times New Roman" w:eastAsia="標楷體" w:hAnsi="Times New Roman"/>
          <w:color w:val="333333"/>
          <w:sz w:val="22"/>
          <w:szCs w:val="22"/>
        </w:rPr>
        <w:t xml:space="preserve">　˙p.s.「未加確認事實」與本罪之規範保護目的無關，不宜逕作為過失之依據，有寫另給 1 分。</w:t>
      </w:r>
    </w:p>
    <w:p>
      <w:pPr>
        <w:spacing w:after="40" w:line="300"/>
        <w:ind w:left="480"/>
      </w:pPr>
      <w:r>
        <w:rPr>
          <w:rFonts w:ascii="Times New Roman" w:eastAsia="標楷體" w:hAnsi="Times New Roman"/>
          <w:color w:val="333333"/>
          <w:sz w:val="22"/>
          <w:szCs w:val="22"/>
        </w:rPr>
        <w:t xml:space="preserve">　˙有討論 19Ⅱ減輕其刑者給 1 分；另指出非自行招致、無 19Ⅲ原因自由行為之適用者再給 1 分。</w:t>
      </w:r>
    </w:p>
    <w:p>
      <w:pPr>
        <w:spacing w:after="80" w:line="300"/>
        <w:ind w:left="0"/>
      </w:pPr>
      <w:r>
        <w:rPr>
          <w:rFonts w:ascii="Times New Roman" w:eastAsia="標楷體" w:hAnsi="Times New Roman"/>
          <w:color w:val="000000"/>
          <w:sz w:val="24"/>
          <w:szCs w:val="24"/>
        </w:rPr>
        <w:t xml:space="preserve">3. 甲對乙成立 277Ⅰ 傷害罪（麻醉藥品致生理機能障礙）。</w:t>
      </w:r>
      <w:r>
        <w:rPr>
          <w:rFonts w:ascii="Times New Roman" w:eastAsia="標楷體" w:hAnsi="Times New Roman"/>
          <w:b/>
          <w:bCs/>
          <w:color w:val="C00000"/>
          <w:sz w:val="22"/>
          <w:szCs w:val="22"/>
        </w:rPr>
        <w:t xml:space="preserve">（3 分）</w:t>
      </w:r>
    </w:p>
    <w:p>
      <w:pPr>
        <w:spacing w:after="80" w:line="300"/>
        <w:ind w:left="0"/>
      </w:pPr>
      <w:r>
        <w:rPr>
          <w:rFonts w:ascii="Times New Roman" w:eastAsia="標楷體" w:hAnsi="Times New Roman"/>
          <w:color w:val="000000"/>
          <w:sz w:val="24"/>
          <w:szCs w:val="24"/>
        </w:rPr>
        <w:t xml:space="preserve">4. 甲不成立 185-3 之間接正犯？因 185-3 是己手犯。</w:t>
      </w:r>
      <w:r>
        <w:rPr>
          <w:rFonts w:ascii="Times New Roman" w:eastAsia="標楷體" w:hAnsi="Times New Roman"/>
          <w:b/>
          <w:bCs/>
          <w:color w:val="C00000"/>
          <w:sz w:val="22"/>
          <w:szCs w:val="22"/>
        </w:rPr>
        <w:t xml:space="preserve">（5 分）</w:t>
      </w:r>
    </w:p>
    <w:p>
      <w:pPr>
        <w:spacing w:after="40" w:line="300"/>
        <w:ind w:left="480"/>
      </w:pPr>
      <w:r>
        <w:rPr>
          <w:rFonts w:ascii="Times New Roman" w:eastAsia="標楷體" w:hAnsi="Times New Roman"/>
          <w:color w:val="333333"/>
          <w:sz w:val="22"/>
          <w:szCs w:val="22"/>
        </w:rPr>
        <w:t xml:space="preserve">　˙點出己手犯之性質給 3 分；另說明乙無故意之不法主行為、依限制從屬形式亦不成立教唆或幫助犯，再給 2 分。</w:t>
      </w:r>
    </w:p>
    <w:p>
      <w:pPr>
        <w:spacing w:after="80" w:line="300"/>
        <w:ind w:left="0"/>
      </w:pPr>
      <w:r>
        <w:rPr>
          <w:rFonts w:ascii="Times New Roman" w:eastAsia="標楷體" w:hAnsi="Times New Roman"/>
          <w:color w:val="000000"/>
          <w:sz w:val="24"/>
          <w:szCs w:val="24"/>
        </w:rPr>
        <w:t xml:space="preserve">5. 甲對 A 能否成立過失致死？有無預見可能性？</w:t>
      </w:r>
      <w:r>
        <w:rPr>
          <w:rFonts w:ascii="Times New Roman" w:eastAsia="標楷體" w:hAnsi="Times New Roman"/>
          <w:b/>
          <w:bCs/>
          <w:color w:val="C00000"/>
          <w:sz w:val="22"/>
          <w:szCs w:val="22"/>
        </w:rPr>
        <w:t xml:space="preserve">（4 分）</w:t>
      </w:r>
    </w:p>
    <w:p>
      <w:pPr>
        <w:spacing w:after="40" w:line="300"/>
        <w:ind w:left="480"/>
      </w:pPr>
      <w:r>
        <w:rPr>
          <w:rFonts w:ascii="Times New Roman" w:eastAsia="標楷體" w:hAnsi="Times New Roman"/>
          <w:color w:val="333333"/>
          <w:sz w:val="22"/>
          <w:szCs w:val="22"/>
        </w:rPr>
        <w:t xml:space="preserve">　˙有認識過失（14Ⅱ）；過失犯不以親自實行為必要。</w:t>
      </w:r>
    </w:p>
    <w:p>
      <w:pPr>
        <w:spacing w:after="80" w:line="300"/>
        <w:ind w:left="0"/>
      </w:pPr>
      <w:r>
        <w:rPr>
          <w:rFonts w:ascii="Times New Roman" w:eastAsia="標楷體" w:hAnsi="Times New Roman"/>
          <w:color w:val="000000"/>
          <w:sz w:val="24"/>
          <w:szCs w:val="24"/>
        </w:rPr>
        <w:t xml:space="preserve">6. 競合：甲下藥之一行為→55 想像競合，從一重（生命法益）處斷。</w:t>
      </w:r>
      <w:r>
        <w:rPr>
          <w:rFonts w:ascii="Times New Roman" w:eastAsia="標楷體" w:hAnsi="Times New Roman"/>
          <w:b/>
          <w:bCs/>
          <w:color w:val="C00000"/>
          <w:sz w:val="22"/>
          <w:szCs w:val="22"/>
        </w:rPr>
        <w:t xml:space="preserve">（3 分）</w:t>
      </w:r>
    </w:p>
    <w:p>
      <w:pPr>
        <w:pStyle w:val="Heading1"/>
        <w:spacing w:after="120" w:before="260"/>
      </w:pPr>
      <w:r>
        <w:rPr>
          <w:rFonts w:ascii="Times New Roman" w:eastAsia="標楷體" w:hAnsi="Times New Roman"/>
          <w:b/>
          <w:bCs/>
          <w:sz w:val="30"/>
          <w:szCs w:val="30"/>
        </w:rPr>
        <w:t xml:space="preserve">第二題（25 分）</w:t>
      </w:r>
    </w:p>
    <w:p>
      <w:pPr>
        <w:spacing w:after="160" w:line="320"/>
        <w:ind w:firstLine="480"/>
      </w:pPr>
      <w:r>
        <w:rPr>
          <w:rFonts w:ascii="Times New Roman" w:eastAsia="標楷體" w:hAnsi="Times New Roman"/>
          <w:sz w:val="24"/>
          <w:szCs w:val="24"/>
        </w:rPr>
        <w:t xml:space="preserve">甲、乙、丙三人與同事 A 相約在 KTV 包廂為 A 慶生。A 當晚已飲用大量酒類，於眾人唱歌途中突然向前趴倒在甲身上。三人以為 A 是不勝酒力而睡著，遂趁機接續對外觀如同熟睡之 A 實施性侵入行為。事後經法醫鑑定，A 在趴倒於甲身上之時，即已因主動脈剝離猝死。試問甲、乙、丙之行為依刑法如何論處？</w:t>
      </w:r>
    </w:p>
    <w:p>
      <w:pPr>
        <w:pStyle w:val="Heading2"/>
        <w:spacing w:after="120" w:before="260"/>
      </w:pPr>
      <w:r>
        <w:rPr>
          <w:rFonts w:ascii="Times New Roman" w:eastAsia="標楷體" w:hAnsi="Times New Roman"/>
          <w:b/>
          <w:bCs/>
          <w:sz w:val="26"/>
          <w:szCs w:val="26"/>
        </w:rPr>
        <w:t xml:space="preserve">擬答（評分要點）</w:t>
      </w:r>
    </w:p>
    <w:p>
      <w:pPr>
        <w:spacing w:after="80" w:line="300"/>
        <w:ind w:left="0"/>
      </w:pPr>
      <w:r>
        <w:rPr>
          <w:rFonts w:ascii="Times New Roman" w:eastAsia="標楷體" w:hAnsi="Times New Roman"/>
          <w:color w:val="000000"/>
          <w:sz w:val="24"/>
          <w:szCs w:val="24"/>
        </w:rPr>
        <w:t xml:space="preserve">1. 甲乙丙為 225Ⅰ 乘機性交罪之共同正犯。討論強制性交與乘機性交之區別。</w:t>
      </w:r>
      <w:r>
        <w:rPr>
          <w:rFonts w:ascii="Times New Roman" w:eastAsia="標楷體" w:hAnsi="Times New Roman"/>
          <w:b/>
          <w:bCs/>
          <w:color w:val="C00000"/>
          <w:sz w:val="22"/>
          <w:szCs w:val="22"/>
        </w:rPr>
        <w:t xml:space="preserve">（6 分）</w:t>
      </w:r>
    </w:p>
    <w:p>
      <w:pPr>
        <w:spacing w:after="40" w:line="300"/>
        <w:ind w:left="480"/>
      </w:pPr>
      <w:r>
        <w:rPr>
          <w:rFonts w:ascii="Times New Roman" w:eastAsia="標楷體" w:hAnsi="Times New Roman"/>
          <w:color w:val="333333"/>
          <w:sz w:val="22"/>
          <w:szCs w:val="22"/>
        </w:rPr>
        <w:t xml:space="preserve">　˙區別在於「不能或不知抗拒之狀態是否為行為人所製造」；本件係利用 A 自行飲酒（及疾病）所生之狀態。</w:t>
      </w:r>
    </w:p>
    <w:p>
      <w:pPr>
        <w:spacing w:after="80" w:line="300"/>
        <w:ind w:left="0"/>
      </w:pPr>
      <w:r>
        <w:rPr>
          <w:rFonts w:ascii="Times New Roman" w:eastAsia="標楷體" w:hAnsi="Times New Roman"/>
          <w:color w:val="000000"/>
          <w:sz w:val="24"/>
          <w:szCs w:val="24"/>
        </w:rPr>
        <w:t xml:space="preserve">2. p.s. 乘機性交罪沒有「二人以上共同犯之」的加重事由，只能依 28 論共同正犯。</w:t>
      </w:r>
      <w:r>
        <w:rPr>
          <w:rFonts w:ascii="Times New Roman" w:eastAsia="標楷體" w:hAnsi="Times New Roman"/>
          <w:b/>
          <w:bCs/>
          <w:color w:val="C00000"/>
          <w:sz w:val="22"/>
          <w:szCs w:val="22"/>
        </w:rPr>
        <w:t xml:space="preserve">（3 分）</w:t>
      </w:r>
    </w:p>
    <w:p>
      <w:pPr>
        <w:spacing w:after="80" w:line="300"/>
        <w:ind w:left="0"/>
      </w:pPr>
      <w:r>
        <w:rPr>
          <w:rFonts w:ascii="Times New Roman" w:eastAsia="標楷體" w:hAnsi="Times New Roman"/>
          <w:color w:val="000000"/>
          <w:sz w:val="24"/>
          <w:szCs w:val="24"/>
        </w:rPr>
        <w:t xml:space="preserve">3. 是客體不能→僅成立未遂（225Ⅲ）。</w:t>
      </w:r>
      <w:r>
        <w:rPr>
          <w:rFonts w:ascii="Times New Roman" w:eastAsia="標楷體" w:hAnsi="Times New Roman"/>
          <w:b/>
          <w:bCs/>
          <w:color w:val="C00000"/>
          <w:sz w:val="22"/>
          <w:szCs w:val="22"/>
        </w:rPr>
        <w:t xml:space="preserve">（4 分）</w:t>
      </w:r>
    </w:p>
    <w:p>
      <w:pPr>
        <w:spacing w:after="80" w:line="300"/>
        <w:ind w:left="0"/>
      </w:pPr>
      <w:r>
        <w:rPr>
          <w:rFonts w:ascii="Times New Roman" w:eastAsia="標楷體" w:hAnsi="Times New Roman"/>
          <w:color w:val="000000"/>
          <w:sz w:val="24"/>
          <w:szCs w:val="24"/>
        </w:rPr>
        <w:t xml:space="preserve">4. 是否為不能犯？何謂 26 條的「無危險」？</w:t>
      </w:r>
      <w:r>
        <w:rPr>
          <w:rFonts w:ascii="Times New Roman" w:eastAsia="標楷體" w:hAnsi="Times New Roman"/>
          <w:b/>
          <w:bCs/>
          <w:color w:val="C00000"/>
          <w:sz w:val="22"/>
          <w:szCs w:val="22"/>
        </w:rPr>
        <w:t xml:space="preserve">（8 分）</w:t>
      </w:r>
    </w:p>
    <w:p>
      <w:pPr>
        <w:spacing w:after="40" w:line="300"/>
        <w:ind w:left="480"/>
      </w:pPr>
      <w:r>
        <w:rPr>
          <w:rFonts w:ascii="Times New Roman" w:eastAsia="標楷體" w:hAnsi="Times New Roman"/>
          <w:color w:val="333333"/>
          <w:sz w:val="22"/>
          <w:szCs w:val="22"/>
        </w:rPr>
        <w:t xml:space="preserve">　˙具體危險說：以行為當時一般人所認識之事實及行為人特別認識之事實為判斷基礎，再以一般人之角度判斷有無具體危險。若有危險，則非不能犯。</w:t>
      </w:r>
    </w:p>
    <w:p>
      <w:pPr>
        <w:spacing w:after="40" w:line="300"/>
        <w:ind w:left="480"/>
      </w:pPr>
      <w:r>
        <w:rPr>
          <w:rFonts w:ascii="Times New Roman" w:eastAsia="標楷體" w:hAnsi="Times New Roman"/>
          <w:color w:val="333333"/>
          <w:sz w:val="22"/>
          <w:szCs w:val="22"/>
        </w:rPr>
        <w:t xml:space="preserve">　˙重大無知說：以行為人主觀上所認識之事實為基礎，再以一般人之角度評價是否重大無知。若非重大無知，即非不能犯。</w:t>
      </w:r>
    </w:p>
    <w:p>
      <w:pPr>
        <w:spacing w:after="40" w:line="300"/>
        <w:ind w:left="480"/>
      </w:pPr>
      <w:r>
        <w:rPr>
          <w:rFonts w:ascii="Times New Roman" w:eastAsia="標楷體" w:hAnsi="Times New Roman"/>
          <w:color w:val="333333"/>
          <w:sz w:val="22"/>
          <w:szCs w:val="22"/>
        </w:rPr>
        <w:t xml:space="preserve">　˙實務：以客觀上一般人依其知識、經驗及觀念所公認之因果法則判斷危險之有無。</w:t>
      </w:r>
    </w:p>
    <w:p>
      <w:pPr>
        <w:spacing w:after="40" w:line="300"/>
        <w:ind w:left="480"/>
      </w:pPr>
      <w:r>
        <w:rPr>
          <w:rFonts w:ascii="Times New Roman" w:eastAsia="標楷體" w:hAnsi="Times New Roman"/>
          <w:color w:val="333333"/>
          <w:sz w:val="22"/>
          <w:szCs w:val="22"/>
        </w:rPr>
        <w:t xml:space="preserve">　˙每交代一說之判斷基礎給 2 分（共 6 分）；本件 A 外觀如同熟睡，依何說均非不能未遂→普通未遂，結論正確再給 2 分。</w:t>
      </w:r>
    </w:p>
    <w:p>
      <w:pPr>
        <w:spacing w:after="80" w:line="300"/>
        <w:ind w:left="0"/>
      </w:pPr>
      <w:r>
        <w:rPr>
          <w:rFonts w:ascii="Times New Roman" w:eastAsia="標楷體" w:hAnsi="Times New Roman"/>
          <w:color w:val="000000"/>
          <w:sz w:val="24"/>
          <w:szCs w:val="24"/>
        </w:rPr>
        <w:t xml:space="preserve">5. 247Ⅰ 侮辱屍體罪：欠缺對「屍體」之認識，無故意，且不罰過失犯→不成立。</w:t>
      </w:r>
      <w:r>
        <w:rPr>
          <w:rFonts w:ascii="Times New Roman" w:eastAsia="標楷體" w:hAnsi="Times New Roman"/>
          <w:b/>
          <w:bCs/>
          <w:color w:val="C00000"/>
          <w:sz w:val="22"/>
          <w:szCs w:val="22"/>
        </w:rPr>
        <w:t xml:space="preserve">（4 分）</w:t>
      </w:r>
    </w:p>
    <w:p>
      <w:pPr>
        <w:pStyle w:val="Heading1"/>
        <w:spacing w:after="120" w:before="260"/>
      </w:pPr>
      <w:r>
        <w:rPr>
          <w:rFonts w:ascii="Times New Roman" w:eastAsia="標楷體" w:hAnsi="Times New Roman"/>
          <w:b/>
          <w:bCs/>
          <w:sz w:val="30"/>
          <w:szCs w:val="30"/>
        </w:rPr>
        <w:t xml:space="preserve">第三題（25 分）</w:t>
      </w:r>
    </w:p>
    <w:p>
      <w:pPr>
        <w:spacing w:after="160" w:line="320"/>
        <w:ind w:firstLine="480"/>
      </w:pPr>
      <w:r>
        <w:rPr>
          <w:rFonts w:ascii="Times New Roman" w:eastAsia="標楷體" w:hAnsi="Times New Roman"/>
          <w:sz w:val="24"/>
          <w:szCs w:val="24"/>
        </w:rPr>
        <w:t xml:space="preserve">甲於政府持股占 70% 之 C 股份有限公司任職，負責醫療耗材之採購業務。甲透過中間人乙向 D 公司負責人丙傳話，表示丙如果願意配合，他會從中提供協助；如果不配合，他會讓 D 公司永遠拿不到 C 公司的任何採購標案。經過考慮，丙決定與甲配合。在 2002 年至 2013 年期間，甲於其承辦依政府採購法辦理之採購程序中，數次將底價及其他投標廠商報價等資訊提供給 D 公司，使之順利取得標案。每次得標後，丙均透過乙交付一定金額予甲，作為取得標案之回報。試問甲、乙、丙之行為依刑法如何論處？</w:t>
      </w:r>
    </w:p>
    <w:p>
      <w:pPr>
        <w:pStyle w:val="Heading2"/>
        <w:spacing w:after="120" w:before="260"/>
      </w:pPr>
      <w:r>
        <w:rPr>
          <w:rFonts w:ascii="Times New Roman" w:eastAsia="標楷體" w:hAnsi="Times New Roman"/>
          <w:b/>
          <w:bCs/>
          <w:sz w:val="26"/>
          <w:szCs w:val="26"/>
        </w:rPr>
        <w:t xml:space="preserve">擬答（評分要點）</w:t>
      </w:r>
    </w:p>
    <w:p>
      <w:pPr>
        <w:spacing w:after="80" w:line="300"/>
        <w:ind w:left="0"/>
      </w:pPr>
      <w:r>
        <w:rPr>
          <w:rFonts w:ascii="Times New Roman" w:eastAsia="標楷體" w:hAnsi="Times New Roman"/>
          <w:color w:val="000000"/>
          <w:sz w:val="24"/>
          <w:szCs w:val="24"/>
        </w:rPr>
        <w:t xml:space="preserve">1. 甲是刑法上公務員，是 10Ⅱ①後段之授權公務員（政府持股逾 50%＝公營事業＋依政府採購法辦理採購）。</w:t>
      </w:r>
      <w:r>
        <w:rPr>
          <w:rFonts w:ascii="Times New Roman" w:eastAsia="標楷體" w:hAnsi="Times New Roman"/>
          <w:b/>
          <w:bCs/>
          <w:color w:val="C00000"/>
          <w:sz w:val="22"/>
          <w:szCs w:val="22"/>
        </w:rPr>
        <w:t xml:space="preserve">（4 分）</w:t>
      </w:r>
    </w:p>
    <w:p>
      <w:pPr>
        <w:spacing w:after="80" w:line="300"/>
        <w:ind w:left="0"/>
      </w:pPr>
      <w:r>
        <w:rPr>
          <w:rFonts w:ascii="Times New Roman" w:eastAsia="標楷體" w:hAnsi="Times New Roman"/>
          <w:color w:val="000000"/>
          <w:sz w:val="24"/>
          <w:szCs w:val="24"/>
        </w:rPr>
        <w:t xml:space="preserve">2. 甲成立 122Ⅱ 違背職務之收受賄賂罪。</w:t>
      </w:r>
      <w:r>
        <w:rPr>
          <w:rFonts w:ascii="Times New Roman" w:eastAsia="標楷體" w:hAnsi="Times New Roman"/>
          <w:b/>
          <w:bCs/>
          <w:color w:val="C00000"/>
          <w:sz w:val="22"/>
          <w:szCs w:val="22"/>
        </w:rPr>
        <w:t xml:space="preserve">（5 分）</w:t>
      </w:r>
    </w:p>
    <w:p>
      <w:pPr>
        <w:spacing w:after="40" w:line="300"/>
        <w:ind w:left="480"/>
      </w:pPr>
      <w:r>
        <w:rPr>
          <w:rFonts w:ascii="Times New Roman" w:eastAsia="標楷體" w:hAnsi="Times New Roman"/>
          <w:color w:val="333333"/>
          <w:sz w:val="22"/>
          <w:szCs w:val="22"/>
        </w:rPr>
        <w:t xml:space="preserve">　˙須點出對價關係；賄賂由乙轉交不影響本罪成立。</w:t>
      </w:r>
    </w:p>
    <w:p>
      <w:pPr>
        <w:spacing w:after="80" w:line="300"/>
        <w:ind w:left="0"/>
      </w:pPr>
      <w:r>
        <w:rPr>
          <w:rFonts w:ascii="Times New Roman" w:eastAsia="標楷體" w:hAnsi="Times New Roman"/>
          <w:color w:val="000000"/>
          <w:sz w:val="24"/>
          <w:szCs w:val="24"/>
        </w:rPr>
        <w:t xml:space="preserve">3. 甲成立 132Ⅰ 洩漏國防以外之祕密罪（底價、其他投標廠商報價）。</w:t>
      </w:r>
      <w:r>
        <w:rPr>
          <w:rFonts w:ascii="Times New Roman" w:eastAsia="標楷體" w:hAnsi="Times New Roman"/>
          <w:b/>
          <w:bCs/>
          <w:color w:val="C00000"/>
          <w:sz w:val="22"/>
          <w:szCs w:val="22"/>
        </w:rPr>
        <w:t xml:space="preserve">（3 分）</w:t>
      </w:r>
    </w:p>
    <w:p>
      <w:pPr>
        <w:spacing w:after="80" w:line="300"/>
        <w:ind w:left="0"/>
      </w:pPr>
      <w:r>
        <w:rPr>
          <w:rFonts w:ascii="Times New Roman" w:eastAsia="標楷體" w:hAnsi="Times New Roman"/>
          <w:color w:val="000000"/>
          <w:sz w:val="24"/>
          <w:szCs w:val="24"/>
        </w:rPr>
        <w:t xml:space="preserve">4. 兩罪應是想像競合（55），從一重之違背職務受賄罪處斷。</w:t>
      </w:r>
      <w:r>
        <w:rPr>
          <w:rFonts w:ascii="Times New Roman" w:eastAsia="標楷體" w:hAnsi="Times New Roman"/>
          <w:b/>
          <w:bCs/>
          <w:color w:val="C00000"/>
          <w:sz w:val="22"/>
          <w:szCs w:val="22"/>
        </w:rPr>
        <w:t xml:space="preserve">（3 分）</w:t>
      </w:r>
    </w:p>
    <w:p>
      <w:pPr>
        <w:spacing w:after="80" w:line="300"/>
        <w:ind w:left="0"/>
      </w:pPr>
      <w:r>
        <w:rPr>
          <w:rFonts w:ascii="Times New Roman" w:eastAsia="標楷體" w:hAnsi="Times New Roman"/>
          <w:color w:val="000000"/>
          <w:sz w:val="24"/>
          <w:szCs w:val="24"/>
        </w:rPr>
        <w:t xml:space="preserve">5. 罪數：連續犯（56）於 94.2.2 修正公布刪除、95.7.1 施行。依 2Ⅰ從輕原則——</w:t>
      </w:r>
      <w:r>
        <w:rPr>
          <w:rFonts w:ascii="Times New Roman" w:eastAsia="標楷體" w:hAnsi="Times New Roman"/>
          <w:b/>
          <w:bCs/>
          <w:color w:val="C00000"/>
          <w:sz w:val="22"/>
          <w:szCs w:val="22"/>
        </w:rPr>
        <w:t xml:space="preserve">（5 分）</w:t>
      </w:r>
    </w:p>
    <w:p>
      <w:pPr>
        <w:spacing w:after="40" w:line="300"/>
        <w:ind w:left="480"/>
      </w:pPr>
      <w:r>
        <w:rPr>
          <w:rFonts w:ascii="Times New Roman" w:eastAsia="標楷體" w:hAnsi="Times New Roman"/>
          <w:color w:val="333333"/>
          <w:sz w:val="22"/>
          <w:szCs w:val="22"/>
        </w:rPr>
        <w:t xml:space="preserve">　˙95.7.1 前之數次行為：論以一罪、得加重其刑至二分之一。</w:t>
      </w:r>
    </w:p>
    <w:p>
      <w:pPr>
        <w:spacing w:after="40" w:line="300"/>
        <w:ind w:left="480"/>
      </w:pPr>
      <w:r>
        <w:rPr>
          <w:rFonts w:ascii="Times New Roman" w:eastAsia="標楷體" w:hAnsi="Times New Roman"/>
          <w:color w:val="333333"/>
          <w:sz w:val="22"/>
          <w:szCs w:val="22"/>
        </w:rPr>
        <w:t xml:space="preserve">　˙95.7.1 後之數次行為：犯意各別、行為互殊，分論併罰。</w:t>
      </w:r>
    </w:p>
    <w:p>
      <w:pPr>
        <w:spacing w:after="40" w:line="300"/>
        <w:ind w:left="480"/>
      </w:pPr>
      <w:r>
        <w:rPr>
          <w:rFonts w:ascii="Times New Roman" w:eastAsia="標楷體" w:hAnsi="Times New Roman"/>
          <w:color w:val="333333"/>
          <w:sz w:val="22"/>
          <w:szCs w:val="22"/>
        </w:rPr>
        <w:t xml:space="preserve">　˙有意識到行為跨越修正施行日並分段處理者，即給本項分數。</w:t>
      </w:r>
    </w:p>
    <w:p>
      <w:pPr>
        <w:spacing w:after="80" w:line="300"/>
        <w:ind w:left="0"/>
      </w:pPr>
      <w:r>
        <w:rPr>
          <w:rFonts w:ascii="Times New Roman" w:eastAsia="標楷體" w:hAnsi="Times New Roman"/>
          <w:color w:val="000000"/>
          <w:sz w:val="24"/>
          <w:szCs w:val="24"/>
        </w:rPr>
        <w:t xml:space="preserve">6. 乙能否與甲論以違背職務受賄罪之共同正犯？刑法 31Ⅰ及學說之批評。</w:t>
      </w:r>
      <w:r>
        <w:rPr>
          <w:rFonts w:ascii="Times New Roman" w:eastAsia="標楷體" w:hAnsi="Times New Roman"/>
          <w:b/>
          <w:bCs/>
          <w:color w:val="C00000"/>
          <w:sz w:val="22"/>
          <w:szCs w:val="22"/>
        </w:rPr>
        <w:t xml:space="preserve">（3 分）</w:t>
      </w:r>
    </w:p>
    <w:p>
      <w:pPr>
        <w:spacing w:after="40" w:line="300"/>
        <w:ind w:left="480"/>
      </w:pPr>
      <w:r>
        <w:rPr>
          <w:rFonts w:ascii="Times New Roman" w:eastAsia="標楷體" w:hAnsi="Times New Roman"/>
          <w:color w:val="333333"/>
          <w:sz w:val="22"/>
          <w:szCs w:val="22"/>
        </w:rPr>
        <w:t xml:space="preserve">　˙p.s. 也可以寫乙是幫助犯：中間人係立於行賄或受賄之一方，應斟酌其與雙方之關係、居中承擔之工作份量、獲利比例判斷；本件乙受甲之託傳話，宜認立於甲之地位，論 122Ⅱ之幫助犯，得減輕其刑。</w:t>
      </w:r>
    </w:p>
    <w:p>
      <w:pPr>
        <w:spacing w:after="80" w:line="300"/>
        <w:ind w:left="0"/>
      </w:pPr>
      <w:r>
        <w:rPr>
          <w:rFonts w:ascii="Times New Roman" w:eastAsia="標楷體" w:hAnsi="Times New Roman"/>
          <w:color w:val="000000"/>
          <w:sz w:val="24"/>
          <w:szCs w:val="24"/>
        </w:rPr>
        <w:t xml:space="preserve">7. 丙是違背職務之行賄罪（122Ⅲ）；丙不成立 132Ⅰ 之共同正犯，因該罪是對向犯。</w:t>
      </w:r>
      <w:r>
        <w:rPr>
          <w:rFonts w:ascii="Times New Roman" w:eastAsia="標楷體" w:hAnsi="Times New Roman"/>
          <w:b/>
          <w:bCs/>
          <w:color w:val="C00000"/>
          <w:sz w:val="22"/>
          <w:szCs w:val="22"/>
        </w:rPr>
        <w:t xml:space="preserve">（2 分）</w:t>
      </w:r>
    </w:p>
    <w:p>
      <w:pPr>
        <w:spacing w:after="40" w:line="300"/>
        <w:ind w:left="480"/>
      </w:pPr>
      <w:r>
        <w:rPr>
          <w:rFonts w:ascii="Times New Roman" w:eastAsia="標楷體" w:hAnsi="Times New Roman"/>
          <w:color w:val="333333"/>
          <w:sz w:val="22"/>
          <w:szCs w:val="22"/>
        </w:rPr>
        <w:t xml:space="preserve">　˙附論：甲以「不配合即永遠無法得標」相脅，另有 304 強制罪之討論空間；兼論特別法（貪污治罪條例優先適用）者，各另給 1 分。</w:t>
      </w:r>
    </w:p>
    <w:p>
      <w:pPr>
        <w:pStyle w:val="Heading1"/>
        <w:spacing w:after="120" w:before="260"/>
      </w:pPr>
      <w:r>
        <w:rPr>
          <w:rFonts w:ascii="Times New Roman" w:eastAsia="標楷體" w:hAnsi="Times New Roman"/>
          <w:b/>
          <w:bCs/>
          <w:sz w:val="30"/>
          <w:szCs w:val="30"/>
        </w:rPr>
        <w:t xml:space="preserve">第四題（25 分）</w:t>
      </w:r>
    </w:p>
    <w:p>
      <w:pPr>
        <w:spacing w:after="160" w:line="320"/>
        <w:ind w:firstLine="480"/>
      </w:pPr>
      <w:r>
        <w:rPr>
          <w:rFonts w:ascii="Times New Roman" w:eastAsia="標楷體" w:hAnsi="Times New Roman"/>
          <w:sz w:val="24"/>
          <w:szCs w:val="24"/>
        </w:rPr>
        <w:t xml:space="preserve">甲與乙在甲住處共同施用第二級毒品時，甲因不耐其 8 個月大之女兒 A 啼哭不休，雙手抓住 A 猛力搖晃，致 A 自其手中滑落撞擊地面死亡。在旁目睹整個過程之乙，受甲之請託，以棉被包裹 A 之屍體後載往山區掩埋。甲始終良心不安，於事發後第 6 年主動向警方投案。偵查中，乙以證人身分具結後證稱：「當天是 A 自己從嬰兒床上翻落地面摔死的。」又針對檢察官所提「甲當天有無施用毒品」之問題，乙則答以：「我沒印象。」試問甲、乙之行為依刑法如何論處？</w:t>
      </w:r>
    </w:p>
    <w:p>
      <w:pPr>
        <w:pStyle w:val="Heading2"/>
        <w:spacing w:after="120" w:before="260"/>
      </w:pPr>
      <w:r>
        <w:rPr>
          <w:rFonts w:ascii="Times New Roman" w:eastAsia="標楷體" w:hAnsi="Times New Roman"/>
          <w:b/>
          <w:bCs/>
          <w:sz w:val="26"/>
          <w:szCs w:val="26"/>
        </w:rPr>
        <w:t xml:space="preserve">擬答（評分要點）</w:t>
      </w:r>
    </w:p>
    <w:p>
      <w:pPr>
        <w:spacing w:after="80" w:line="300"/>
        <w:ind w:left="0"/>
      </w:pPr>
      <w:r>
        <w:rPr>
          <w:rFonts w:ascii="Times New Roman" w:eastAsia="標楷體" w:hAnsi="Times New Roman"/>
          <w:color w:val="000000"/>
          <w:sz w:val="24"/>
          <w:szCs w:val="24"/>
        </w:rPr>
        <w:t xml:space="preserve">1. 甲致 A 死亡應論何罪？本題主要爭點，採何說均可，重在論理一貫。</w:t>
      </w:r>
      <w:r>
        <w:rPr>
          <w:rFonts w:ascii="Times New Roman" w:eastAsia="標楷體" w:hAnsi="Times New Roman"/>
          <w:b/>
          <w:bCs/>
          <w:color w:val="C00000"/>
          <w:sz w:val="22"/>
          <w:szCs w:val="22"/>
        </w:rPr>
        <w:t xml:space="preserve">（7 分）</w:t>
      </w:r>
    </w:p>
    <w:p>
      <w:pPr>
        <w:spacing w:after="40" w:line="300"/>
        <w:ind w:left="480"/>
      </w:pPr>
      <w:r>
        <w:rPr>
          <w:rFonts w:ascii="Times New Roman" w:eastAsia="標楷體" w:hAnsi="Times New Roman"/>
          <w:color w:val="333333"/>
          <w:sz w:val="22"/>
          <w:szCs w:val="22"/>
        </w:rPr>
        <w:t xml:space="preserve">　˙271 殺人罪：一時不耐哭鬧而為，難認有（不確定）殺人故意→宜否定。</w:t>
      </w:r>
    </w:p>
    <w:p>
      <w:pPr>
        <w:spacing w:after="40" w:line="300"/>
        <w:ind w:left="480"/>
      </w:pPr>
      <w:r>
        <w:rPr>
          <w:rFonts w:ascii="Times New Roman" w:eastAsia="標楷體" w:hAnsi="Times New Roman"/>
          <w:color w:val="333333"/>
          <w:sz w:val="22"/>
          <w:szCs w:val="22"/>
        </w:rPr>
        <w:t xml:space="preserve">　˙286Ⅰ、Ⅵ 凌虐幼童致死：實務認凌虐不以長期性、持續性或多次性為必要。A 未滿七歲，正確引至第 6 項者另給 1 分。</w:t>
      </w:r>
    </w:p>
    <w:p>
      <w:pPr>
        <w:spacing w:after="40" w:line="300"/>
        <w:ind w:left="480"/>
      </w:pPr>
      <w:r>
        <w:rPr>
          <w:rFonts w:ascii="Times New Roman" w:eastAsia="標楷體" w:hAnsi="Times New Roman"/>
          <w:color w:val="333333"/>
          <w:sz w:val="22"/>
          <w:szCs w:val="22"/>
        </w:rPr>
        <w:t xml:space="preserve">　˙277Ⅱ 傷害致死：本罪不法內涵在持續性虐待，與一時失控之單一暴力行為有別，故論傷害故意＋加重結果（17）。</w:t>
      </w:r>
    </w:p>
    <w:p>
      <w:pPr>
        <w:spacing w:after="80" w:line="300"/>
        <w:ind w:left="0"/>
      </w:pPr>
      <w:r>
        <w:rPr>
          <w:rFonts w:ascii="Times New Roman" w:eastAsia="標楷體" w:hAnsi="Times New Roman"/>
          <w:color w:val="000000"/>
          <w:sz w:val="24"/>
          <w:szCs w:val="24"/>
        </w:rPr>
        <w:t xml:space="preserve">2. 罪責：行為時施用毒品係故意自行招致，依 19Ⅲ 不得依 19Ⅰ、Ⅱ 減免其刑。</w:t>
      </w:r>
      <w:r>
        <w:rPr>
          <w:rFonts w:ascii="Times New Roman" w:eastAsia="標楷體" w:hAnsi="Times New Roman"/>
          <w:b/>
          <w:bCs/>
          <w:color w:val="C00000"/>
          <w:sz w:val="22"/>
          <w:szCs w:val="22"/>
        </w:rPr>
        <w:t xml:space="preserve">（2 分）</w:t>
      </w:r>
    </w:p>
    <w:p>
      <w:pPr>
        <w:spacing w:after="80" w:line="300"/>
        <w:ind w:left="0"/>
      </w:pPr>
      <w:r>
        <w:rPr>
          <w:rFonts w:ascii="Times New Roman" w:eastAsia="標楷體" w:hAnsi="Times New Roman"/>
          <w:color w:val="000000"/>
          <w:sz w:val="24"/>
          <w:szCs w:val="24"/>
        </w:rPr>
        <w:t xml:space="preserve">3. 自首：62 前段得減輕其刑。</w:t>
      </w:r>
      <w:r>
        <w:rPr>
          <w:rFonts w:ascii="Times New Roman" w:eastAsia="標楷體" w:hAnsi="Times New Roman"/>
          <w:b/>
          <w:bCs/>
          <w:color w:val="C00000"/>
          <w:sz w:val="22"/>
          <w:szCs w:val="22"/>
        </w:rPr>
        <w:t xml:space="preserve">（2 分）</w:t>
      </w:r>
    </w:p>
    <w:p>
      <w:pPr>
        <w:spacing w:after="40" w:line="300"/>
        <w:ind w:left="480"/>
      </w:pPr>
      <w:r>
        <w:rPr>
          <w:rFonts w:ascii="Times New Roman" w:eastAsia="標楷體" w:hAnsi="Times New Roman"/>
          <w:color w:val="333333"/>
          <w:sz w:val="22"/>
          <w:szCs w:val="22"/>
        </w:rPr>
        <w:t xml:space="preserve">　˙p.s. 追訴權時效：80Ⅰ①但書，發生死亡結果者不受 30 年之限制，有指出本件無時效問題者另給 1 分。</w:t>
      </w:r>
    </w:p>
    <w:p>
      <w:pPr>
        <w:spacing w:after="80" w:line="300"/>
        <w:ind w:left="0"/>
      </w:pPr>
      <w:r>
        <w:rPr>
          <w:rFonts w:ascii="Times New Roman" w:eastAsia="標楷體" w:hAnsi="Times New Roman"/>
          <w:color w:val="000000"/>
          <w:sz w:val="24"/>
          <w:szCs w:val="24"/>
        </w:rPr>
        <w:t xml:space="preserve">4. 甲成立 247Ⅰ 遺棄屍體罪之教唆犯（29）。</w:t>
      </w:r>
      <w:r>
        <w:rPr>
          <w:rFonts w:ascii="Times New Roman" w:eastAsia="標楷體" w:hAnsi="Times New Roman"/>
          <w:b/>
          <w:bCs/>
          <w:color w:val="C00000"/>
          <w:sz w:val="22"/>
          <w:szCs w:val="22"/>
        </w:rPr>
        <w:t xml:space="preserve">（2 分）</w:t>
      </w:r>
    </w:p>
    <w:p>
      <w:pPr>
        <w:spacing w:after="80" w:line="300"/>
        <w:ind w:left="0"/>
      </w:pPr>
      <w:r>
        <w:rPr>
          <w:rFonts w:ascii="Times New Roman" w:eastAsia="標楷體" w:hAnsi="Times New Roman"/>
          <w:color w:val="000000"/>
          <w:sz w:val="24"/>
          <w:szCs w:val="24"/>
        </w:rPr>
        <w:t xml:space="preserve">5. 甲教唆乙湮滅甲自己案件之證據，是否成立 165 之教唆犯？</w:t>
      </w:r>
      <w:r>
        <w:rPr>
          <w:rFonts w:ascii="Times New Roman" w:eastAsia="標楷體" w:hAnsi="Times New Roman"/>
          <w:b/>
          <w:bCs/>
          <w:color w:val="C00000"/>
          <w:sz w:val="22"/>
          <w:szCs w:val="22"/>
        </w:rPr>
        <w:t xml:space="preserve">（3 分）</w:t>
      </w:r>
    </w:p>
    <w:p>
      <w:pPr>
        <w:spacing w:after="40" w:line="300"/>
        <w:ind w:left="480"/>
      </w:pPr>
      <w:r>
        <w:rPr>
          <w:rFonts w:ascii="Times New Roman" w:eastAsia="標楷體" w:hAnsi="Times New Roman"/>
          <w:color w:val="333333"/>
          <w:sz w:val="22"/>
          <w:szCs w:val="22"/>
        </w:rPr>
        <w:t xml:space="preserve">　˙165 限「關係他人刑事被告案件之證據」，犯人湮滅自己案件之證據不成立本罪。</w:t>
      </w:r>
    </w:p>
    <w:p>
      <w:pPr>
        <w:spacing w:after="40" w:line="300"/>
        <w:ind w:left="480"/>
      </w:pPr>
      <w:r>
        <w:rPr>
          <w:rFonts w:ascii="Times New Roman" w:eastAsia="標楷體" w:hAnsi="Times New Roman"/>
          <w:color w:val="333333"/>
          <w:sz w:val="22"/>
          <w:szCs w:val="22"/>
        </w:rPr>
        <w:t xml:space="preserve">　˙肯定說（實務）：教唆他人為之，情節與自行為之有異，難謂無期待可能性。</w:t>
      </w:r>
    </w:p>
    <w:p>
      <w:pPr>
        <w:spacing w:after="40" w:line="300"/>
        <w:ind w:left="480"/>
      </w:pPr>
      <w:r>
        <w:rPr>
          <w:rFonts w:ascii="Times New Roman" w:eastAsia="標楷體" w:hAnsi="Times New Roman"/>
          <w:color w:val="333333"/>
          <w:sz w:val="22"/>
          <w:szCs w:val="22"/>
        </w:rPr>
        <w:t xml:space="preserve">　˙否定說（管見）：仍屬自行湮滅證據之一態樣，同樣欠缺期待可能性。</w:t>
      </w:r>
    </w:p>
    <w:p>
      <w:pPr>
        <w:spacing w:after="80" w:line="300"/>
        <w:ind w:left="0"/>
      </w:pPr>
      <w:r>
        <w:rPr>
          <w:rFonts w:ascii="Times New Roman" w:eastAsia="標楷體" w:hAnsi="Times New Roman"/>
          <w:color w:val="000000"/>
          <w:sz w:val="24"/>
          <w:szCs w:val="24"/>
        </w:rPr>
        <w:t xml:space="preserve">6. 乙成立 247Ⅰ 遺棄屍體罪＋165 湮滅證據罪。何謂「他人刑事被告案件」？</w:t>
      </w:r>
      <w:r>
        <w:rPr>
          <w:rFonts w:ascii="Times New Roman" w:eastAsia="標楷體" w:hAnsi="Times New Roman"/>
          <w:b/>
          <w:bCs/>
          <w:color w:val="C00000"/>
          <w:sz w:val="22"/>
          <w:szCs w:val="22"/>
        </w:rPr>
        <w:t xml:space="preserve">（4 分）</w:t>
      </w:r>
    </w:p>
    <w:p>
      <w:pPr>
        <w:spacing w:after="40" w:line="300"/>
        <w:ind w:left="480"/>
      </w:pPr>
      <w:r>
        <w:rPr>
          <w:rFonts w:ascii="Times New Roman" w:eastAsia="標楷體" w:hAnsi="Times New Roman"/>
          <w:color w:val="333333"/>
          <w:sz w:val="22"/>
          <w:szCs w:val="22"/>
        </w:rPr>
        <w:t xml:space="preserve">　˙實務：指因告訴、告發、自首等情形開始偵查以後之案件→本件掩埋時偵查未開始，不成立。</w:t>
      </w:r>
    </w:p>
    <w:p>
      <w:pPr>
        <w:spacing w:after="40" w:line="300"/>
        <w:ind w:left="480"/>
      </w:pPr>
      <w:r>
        <w:rPr>
          <w:rFonts w:ascii="Times New Roman" w:eastAsia="標楷體" w:hAnsi="Times New Roman"/>
          <w:color w:val="333333"/>
          <w:sz w:val="22"/>
          <w:szCs w:val="22"/>
        </w:rPr>
        <w:t xml:space="preserve">　˙學說：本罪保護國家刑事司法作用，不以偵查已開始為必要→成立。</w:t>
      </w:r>
    </w:p>
    <w:p>
      <w:pPr>
        <w:spacing w:after="80" w:line="300"/>
        <w:ind w:left="0"/>
      </w:pPr>
      <w:r>
        <w:rPr>
          <w:rFonts w:ascii="Times New Roman" w:eastAsia="標楷體" w:hAnsi="Times New Roman"/>
          <w:color w:val="000000"/>
          <w:sz w:val="24"/>
          <w:szCs w:val="24"/>
        </w:rPr>
        <w:t xml:space="preserve">7. 乙成立 168 偽證罪。</w:t>
      </w:r>
      <w:r>
        <w:rPr>
          <w:rFonts w:ascii="Times New Roman" w:eastAsia="標楷體" w:hAnsi="Times New Roman"/>
          <w:b/>
          <w:bCs/>
          <w:color w:val="C00000"/>
          <w:sz w:val="22"/>
          <w:szCs w:val="22"/>
        </w:rPr>
        <w:t xml:space="preserve">（3 分）</w:t>
      </w:r>
    </w:p>
    <w:p>
      <w:pPr>
        <w:spacing w:after="40" w:line="300"/>
        <w:ind w:left="480"/>
      </w:pPr>
      <w:r>
        <w:rPr>
          <w:rFonts w:ascii="Times New Roman" w:eastAsia="標楷體" w:hAnsi="Times New Roman"/>
          <w:color w:val="333333"/>
          <w:sz w:val="22"/>
          <w:szCs w:val="22"/>
        </w:rPr>
        <w:t xml:space="preserve">　˙虛偽陳述之概念：客觀說（與客觀真實不符）／主觀說（與記憶不符）。</w:t>
      </w:r>
    </w:p>
    <w:p>
      <w:pPr>
        <w:spacing w:after="40" w:line="300"/>
        <w:ind w:left="480"/>
      </w:pPr>
      <w:r>
        <w:rPr>
          <w:rFonts w:ascii="Times New Roman" w:eastAsia="標楷體" w:hAnsi="Times New Roman"/>
          <w:color w:val="333333"/>
          <w:sz w:val="22"/>
          <w:szCs w:val="22"/>
        </w:rPr>
        <w:t xml:space="preserve">　˙須於案情有重要關係之事項：A 之死因為是；「甲有無施用毒品」關聯薄弱，宜認非重要事項（且乙本得依刑訴 181 拒絕證言）。</w:t>
      </w:r>
    </w:p>
    <w:p>
      <w:pPr>
        <w:spacing w:after="40" w:line="300"/>
        <w:ind w:left="480"/>
      </w:pPr>
      <w:r>
        <w:rPr>
          <w:rFonts w:ascii="Times New Roman" w:eastAsia="標楷體" w:hAnsi="Times New Roman"/>
          <w:color w:val="333333"/>
          <w:sz w:val="22"/>
          <w:szCs w:val="22"/>
        </w:rPr>
        <w:t xml:space="preserve">　˙乙兩次虛偽陳述應論幾罪？偽證罪為侵害國家法益之犯罪，罪數以訴訟件數為準，同一訴訟之同一審級先後數度偽證，僅論單純一罪（最高法院 102 年度台上字第 3418 號判決意旨）。</w:t>
      </w:r>
    </w:p>
    <w:p>
      <w:pPr>
        <w:spacing w:after="80" w:line="300"/>
        <w:ind w:left="0"/>
      </w:pPr>
      <w:r>
        <w:rPr>
          <w:rFonts w:ascii="Times New Roman" w:eastAsia="標楷體" w:hAnsi="Times New Roman"/>
          <w:color w:val="000000"/>
          <w:sz w:val="24"/>
          <w:szCs w:val="24"/>
        </w:rPr>
        <w:t xml:space="preserve">8. 競合：乙以一掩埋行為觸犯 247Ⅰ 與 165→55 想像競合；與偽證罪間行為互殊、犯意各別，依 50 數罪併罰。</w:t>
      </w:r>
      <w:r>
        <w:rPr>
          <w:rFonts w:ascii="Times New Roman" w:eastAsia="標楷體" w:hAnsi="Times New Roman"/>
          <w:b/>
          <w:bCs/>
          <w:color w:val="C00000"/>
          <w:sz w:val="22"/>
          <w:szCs w:val="22"/>
        </w:rPr>
        <w:t xml:space="preserve">（2 分）</w:t>
      </w:r>
    </w:p>
    <w:p>
      <w:pPr>
        <w:spacing w:after="40" w:line="300"/>
        <w:ind w:left="480"/>
      </w:pPr>
      <w:r>
        <w:rPr>
          <w:rFonts w:ascii="Times New Roman" w:eastAsia="標楷體" w:hAnsi="Times New Roman"/>
          <w:color w:val="333333"/>
          <w:sz w:val="22"/>
          <w:szCs w:val="22"/>
        </w:rPr>
        <w:t xml:space="preserve">　˙p.s. 甲乙共同施用毒品部分依毒品危害防制條例，非本題刑法評價範圍。</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2026-08-19T03:32:31.294Z</dcterms:created>
  <dcterms:modified xsi:type="dcterms:W3CDTF">2026-08-19T03:32:31.294Z</dcterms:modified>
</cp:coreProperties>
</file>

<file path=docProps/custom.xml><?xml version="1.0" encoding="utf-8"?>
<Properties xmlns="http://schemas.openxmlformats.org/officeDocument/2006/custom-properties" xmlns:vt="http://schemas.openxmlformats.org/officeDocument/2006/docPropsVTypes"/>
</file>